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4DD2" w14:textId="4E00C535" w:rsidR="008E5B2A" w:rsidRPr="002967E9" w:rsidRDefault="008E5B2A" w:rsidP="008E5B2A">
      <w:pPr>
        <w:pStyle w:val="Corpodetexto"/>
        <w:shd w:val="clear" w:color="auto" w:fill="FFFFFF"/>
        <w:jc w:val="center"/>
        <w:rPr>
          <w:lang w:val="pt-BR"/>
        </w:rPr>
      </w:pPr>
      <w:r>
        <w:rPr>
          <w:rStyle w:val="nfaseforte"/>
          <w:rFonts w:ascii="Times New Roman" w:eastAsia="Calibri" w:hAnsi="Times New Roman" w:cs="Calibri"/>
          <w:b w:val="0"/>
          <w:bCs w:val="0"/>
          <w:color w:val="000000"/>
          <w:sz w:val="26"/>
          <w:szCs w:val="24"/>
          <w:lang w:val="pt-BR"/>
        </w:rPr>
        <w:t xml:space="preserve">CHAMAMENTO PÚBLICO Nº </w:t>
      </w:r>
      <w:r w:rsidR="00C4338F">
        <w:rPr>
          <w:rStyle w:val="nfaseforte"/>
          <w:rFonts w:ascii="Times New Roman" w:eastAsia="Calibri" w:hAnsi="Times New Roman" w:cs="Calibri"/>
          <w:b w:val="0"/>
          <w:bCs w:val="0"/>
          <w:color w:val="000000"/>
          <w:sz w:val="26"/>
          <w:szCs w:val="24"/>
          <w:lang w:val="pt-BR"/>
        </w:rPr>
        <w:t>121</w:t>
      </w:r>
      <w:r>
        <w:rPr>
          <w:rStyle w:val="nfaseforte"/>
          <w:rFonts w:ascii="Times New Roman" w:eastAsia="Calibri" w:hAnsi="Times New Roman" w:cs="Calibri"/>
          <w:b w:val="0"/>
          <w:bCs w:val="0"/>
          <w:color w:val="000000"/>
          <w:sz w:val="26"/>
          <w:szCs w:val="24"/>
          <w:lang w:val="pt-BR"/>
        </w:rPr>
        <w:t>/</w:t>
      </w:r>
      <w:proofErr w:type="gramStart"/>
      <w:r>
        <w:rPr>
          <w:rStyle w:val="nfaseforte"/>
          <w:rFonts w:ascii="Times New Roman" w:eastAsia="Calibri" w:hAnsi="Times New Roman" w:cs="Calibri"/>
          <w:b w:val="0"/>
          <w:bCs w:val="0"/>
          <w:color w:val="000000"/>
          <w:sz w:val="26"/>
          <w:szCs w:val="24"/>
          <w:lang w:val="pt-BR"/>
        </w:rPr>
        <w:t>2024  PARA</w:t>
      </w:r>
      <w:proofErr w:type="gramEnd"/>
      <w:r>
        <w:rPr>
          <w:rStyle w:val="nfaseforte"/>
          <w:rFonts w:ascii="Times New Roman" w:eastAsia="Calibri" w:hAnsi="Times New Roman" w:cs="Calibri"/>
          <w:b w:val="0"/>
          <w:bCs w:val="0"/>
          <w:color w:val="000000"/>
          <w:sz w:val="26"/>
          <w:szCs w:val="24"/>
          <w:lang w:val="pt-BR"/>
        </w:rPr>
        <w:t xml:space="preserve"> FOMENTO À REDE MUNICIPAL DE PONTOS DE CULTURA DE</w:t>
      </w:r>
      <w:r w:rsidR="00C4338F">
        <w:rPr>
          <w:rStyle w:val="nfaseforte"/>
          <w:rFonts w:ascii="Times New Roman" w:eastAsia="Calibri" w:hAnsi="Times New Roman" w:cs="Calibri"/>
          <w:b w:val="0"/>
          <w:bCs w:val="0"/>
          <w:color w:val="000000"/>
          <w:sz w:val="26"/>
          <w:szCs w:val="24"/>
          <w:lang w:val="pt-BR"/>
        </w:rPr>
        <w:t xml:space="preserve"> IBIPORÃ</w:t>
      </w:r>
    </w:p>
    <w:p w14:paraId="7D053D90" w14:textId="1E481835" w:rsidR="008E5B2A" w:rsidRPr="002967E9" w:rsidRDefault="00C4338F" w:rsidP="008E5B2A">
      <w:pPr>
        <w:pStyle w:val="Corpodetexto"/>
        <w:widowControl/>
        <w:spacing w:before="96" w:after="96"/>
        <w:ind w:left="96" w:right="96"/>
        <w:jc w:val="center"/>
        <w:rPr>
          <w:lang w:val="pt-BR"/>
        </w:rPr>
      </w:pPr>
      <w:r>
        <w:rPr>
          <w:rStyle w:val="nfaseforte"/>
          <w:rFonts w:ascii="Times New Roman" w:hAnsi="Times New Roman"/>
          <w:b w:val="0"/>
          <w:bCs w:val="0"/>
          <w:color w:val="000000"/>
          <w:sz w:val="26"/>
          <w:lang w:val="pt-BR"/>
        </w:rPr>
        <w:t>PNAB - 2024</w:t>
      </w:r>
    </w:p>
    <w:p w14:paraId="224A08A7" w14:textId="77777777" w:rsidR="008E5B2A" w:rsidRPr="002967E9" w:rsidRDefault="008E5B2A" w:rsidP="008E5B2A">
      <w:pPr>
        <w:pStyle w:val="Corpodetexto"/>
        <w:widowControl/>
        <w:spacing w:before="120" w:after="120"/>
        <w:ind w:left="120" w:right="120"/>
        <w:jc w:val="center"/>
        <w:rPr>
          <w:rFonts w:ascii="Times New Roman" w:hAnsi="Times New Roman"/>
          <w:b/>
          <w:color w:val="000000"/>
          <w:sz w:val="26"/>
          <w:lang w:val="pt-BR"/>
        </w:rPr>
      </w:pPr>
      <w:bookmarkStart w:id="0" w:name="__DdeLink__253_3137165864"/>
      <w:r w:rsidRPr="002967E9">
        <w:rPr>
          <w:rFonts w:ascii="Times New Roman" w:hAnsi="Times New Roman"/>
          <w:b/>
          <w:color w:val="000000"/>
          <w:sz w:val="26"/>
          <w:lang w:val="pt-BR"/>
        </w:rPr>
        <w:t>FOMENTO A PROJETOS CONTINUADOS DE PONTOS DE CULTURA</w:t>
      </w:r>
      <w:bookmarkEnd w:id="0"/>
    </w:p>
    <w:p w14:paraId="0D3AA66B" w14:textId="77777777" w:rsidR="008E5B2A" w:rsidRPr="002967E9" w:rsidRDefault="008E5B2A" w:rsidP="008E5B2A">
      <w:pPr>
        <w:tabs>
          <w:tab w:val="center" w:pos="0"/>
        </w:tabs>
        <w:spacing w:before="120" w:after="120" w:line="240" w:lineRule="auto"/>
        <w:jc w:val="center"/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1E0F0FBE" w14:textId="77777777" w:rsidR="008E5B2A" w:rsidRDefault="008E5B2A" w:rsidP="008E5B2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2DBC0B1" w14:textId="77777777" w:rsidR="008E5B2A" w:rsidRDefault="008E5B2A" w:rsidP="008E5B2A">
      <w:pPr>
        <w:pStyle w:val="Corpodetexto"/>
        <w:tabs>
          <w:tab w:val="center" w:pos="0"/>
        </w:tabs>
        <w:spacing w:after="120" w:line="240" w:lineRule="auto"/>
        <w:jc w:val="both"/>
        <w:rPr>
          <w:rFonts w:ascii="Times New Roman" w:eastAsia="Calibri" w:hAnsi="Times New Roman" w:cs="Calibri"/>
          <w:b/>
          <w:color w:val="000000"/>
          <w:sz w:val="28"/>
          <w:szCs w:val="24"/>
          <w:u w:val="single"/>
          <w:lang w:val="pt-BR"/>
        </w:rPr>
      </w:pPr>
      <w:r>
        <w:rPr>
          <w:rFonts w:ascii="Calibri" w:eastAsia="Calibri" w:hAnsi="Calibri" w:cs="Calibri"/>
          <w:b/>
          <w:sz w:val="24"/>
          <w:szCs w:val="24"/>
          <w:u w:val="single"/>
          <w:lang w:val="pt-BR"/>
        </w:rPr>
        <w:t>CATEGORIAS</w:t>
      </w:r>
    </w:p>
    <w:p w14:paraId="037C29E2" w14:textId="77777777" w:rsidR="008E5B2A" w:rsidRPr="002967E9" w:rsidRDefault="008E5B2A" w:rsidP="008E5B2A">
      <w:pPr>
        <w:pStyle w:val="Corpodetexto"/>
        <w:widowControl/>
        <w:spacing w:line="192" w:lineRule="atLeast"/>
        <w:jc w:val="both"/>
        <w:rPr>
          <w:lang w:val="pt-BR"/>
        </w:rPr>
      </w:pPr>
      <w:r w:rsidRPr="002967E9">
        <w:rPr>
          <w:rStyle w:val="nfaseforte"/>
          <w:rFonts w:ascii="Times New Roman" w:hAnsi="Times New Roman"/>
          <w:color w:val="000000"/>
          <w:sz w:val="28"/>
          <w:highlight w:val="white"/>
          <w:lang w:val="pt-BR"/>
        </w:rPr>
        <w:t>I - Culturas Populares e Tradicionais:</w:t>
      </w:r>
      <w:r w:rsidRPr="002967E9">
        <w:rPr>
          <w:rFonts w:ascii="Times New Roman" w:hAnsi="Times New Roman"/>
          <w:color w:val="000000"/>
          <w:sz w:val="28"/>
          <w:highlight w:val="white"/>
          <w:lang w:val="pt-BR"/>
        </w:rPr>
        <w:t> deverão ser selecionados, no mínimo, 30% (trinta por cento) de projetos apresentados por entidades com trajetória declarada e comprovadamente ligadas às culturas populares e tradicionais, e que tenham seus planos de trabalho também com ações voltadas ao segmento. </w:t>
      </w:r>
    </w:p>
    <w:p w14:paraId="4D5F85F0" w14:textId="77777777" w:rsidR="008E5B2A" w:rsidRPr="002967E9" w:rsidRDefault="008E5B2A" w:rsidP="008E5B2A">
      <w:pPr>
        <w:pStyle w:val="Corpodetexto"/>
        <w:widowControl/>
        <w:spacing w:line="192" w:lineRule="atLeast"/>
        <w:jc w:val="both"/>
        <w:rPr>
          <w:lang w:val="pt-BR"/>
        </w:rPr>
      </w:pPr>
      <w:r w:rsidRPr="002967E9">
        <w:rPr>
          <w:rStyle w:val="nfaseforte"/>
          <w:rFonts w:ascii="Times New Roman" w:hAnsi="Times New Roman"/>
          <w:color w:val="000000"/>
          <w:sz w:val="28"/>
          <w:lang w:val="pt-BR"/>
        </w:rPr>
        <w:t xml:space="preserve">II - </w:t>
      </w:r>
      <w:bookmarkStart w:id="1" w:name="__DdeLink__15353_3081250592"/>
      <w:r w:rsidRPr="002967E9">
        <w:rPr>
          <w:rStyle w:val="nfaseforte"/>
          <w:rFonts w:ascii="Times New Roman" w:hAnsi="Times New Roman"/>
          <w:color w:val="000000"/>
          <w:sz w:val="28"/>
          <w:lang w:val="pt-BR"/>
        </w:rPr>
        <w:t xml:space="preserve">Desconcentração </w:t>
      </w:r>
      <w:proofErr w:type="spellStart"/>
      <w:r w:rsidRPr="002967E9">
        <w:rPr>
          <w:rStyle w:val="nfaseforte"/>
          <w:rFonts w:ascii="Times New Roman" w:hAnsi="Times New Roman"/>
          <w:color w:val="000000"/>
          <w:sz w:val="28"/>
          <w:lang w:val="pt-BR"/>
        </w:rPr>
        <w:t>Territoral</w:t>
      </w:r>
      <w:proofErr w:type="spellEnd"/>
      <w:r w:rsidRPr="002967E9">
        <w:rPr>
          <w:rStyle w:val="nfaseforte"/>
          <w:rFonts w:ascii="Times New Roman" w:hAnsi="Times New Roman"/>
          <w:color w:val="000000"/>
          <w:sz w:val="28"/>
          <w:lang w:val="pt-BR"/>
        </w:rPr>
        <w:t xml:space="preserve"> e Regionalização</w:t>
      </w:r>
      <w:bookmarkEnd w:id="1"/>
      <w:r w:rsidRPr="002967E9">
        <w:rPr>
          <w:rStyle w:val="nfaseforte"/>
          <w:rFonts w:ascii="Times New Roman" w:hAnsi="Times New Roman"/>
          <w:color w:val="000000"/>
          <w:sz w:val="28"/>
          <w:lang w:val="pt-BR"/>
        </w:rPr>
        <w:t>: </w:t>
      </w:r>
      <w:r w:rsidRPr="002967E9">
        <w:rPr>
          <w:rFonts w:ascii="Times New Roman" w:hAnsi="Times New Roman"/>
          <w:color w:val="000000"/>
          <w:sz w:val="28"/>
          <w:lang w:val="pt-BR"/>
        </w:rPr>
        <w:t>Visando à desconcentração territorial e à regionalização, 20% dos projetos deverão prever ações de incentivo direto a programas, a projetos e a ações de democratização do acesso à fruição e à produção artística e cultural em áreas periféricas, urbanas e rurais, e em territórios e regiões de maior vulnerabilidade econômica ou social, bem como em áreas de povos e comunidades tradicionais, conforme art. 6, II, da PNAB, quais sejam:</w:t>
      </w:r>
    </w:p>
    <w:p w14:paraId="64A222EC" w14:textId="77777777" w:rsidR="008E5B2A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regiões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periféricas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B22B6AA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>regiões com menor Índice de Desenvolvimento Humano - IDH;</w:t>
      </w:r>
    </w:p>
    <w:p w14:paraId="3DC6660F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 xml:space="preserve">regiões onde são localizados conjuntos e </w:t>
      </w:r>
      <w:proofErr w:type="spellStart"/>
      <w:r w:rsidRPr="002967E9">
        <w:rPr>
          <w:rFonts w:ascii="Times New Roman" w:hAnsi="Times New Roman"/>
          <w:color w:val="000000"/>
          <w:sz w:val="28"/>
          <w:lang w:val="pt-BR"/>
        </w:rPr>
        <w:t>empreendimentos</w:t>
      </w:r>
      <w:proofErr w:type="spellEnd"/>
      <w:r w:rsidRPr="002967E9">
        <w:rPr>
          <w:rFonts w:ascii="Times New Roman" w:hAnsi="Times New Roman"/>
          <w:color w:val="000000"/>
          <w:sz w:val="28"/>
          <w:lang w:val="pt-BR"/>
        </w:rPr>
        <w:t xml:space="preserve"> habitacionais, e programas habitacionais de interesse social, promovidos por programas do governo federal ou local;</w:t>
      </w:r>
    </w:p>
    <w:p w14:paraId="7F46202B" w14:textId="77777777" w:rsidR="008E5B2A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assentamentos</w:t>
      </w:r>
      <w:proofErr w:type="spellEnd"/>
      <w:r>
        <w:rPr>
          <w:rFonts w:ascii="Times New Roman" w:hAnsi="Times New Roman"/>
          <w:color w:val="000000"/>
          <w:sz w:val="28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8"/>
        </w:rPr>
        <w:t>acampamentos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04CFFD7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>regiões com menor presença de espaços e equipamentos culturais públicos;</w:t>
      </w:r>
    </w:p>
    <w:p w14:paraId="64FFBC6F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>regiões com menor histórico de acesso aos recursos da política pública de cultura;</w:t>
      </w:r>
    </w:p>
    <w:p w14:paraId="41ECECA7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>zonas especiais de interesse social; VIII - áreas atingidas por desastres naturais;</w:t>
      </w:r>
    </w:p>
    <w:p w14:paraId="393FA5F3" w14:textId="77777777" w:rsidR="008E5B2A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territórios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quilombolas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CE289A" w14:textId="77777777" w:rsidR="008E5B2A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territórios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indígenas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F8872B" w14:textId="77777777" w:rsidR="008E5B2A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territórios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rurais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D6653B0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after="0"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>espaços comunitários de convivência, acolhimento e alimentação; e</w:t>
      </w:r>
    </w:p>
    <w:p w14:paraId="39A56353" w14:textId="77777777" w:rsidR="008E5B2A" w:rsidRPr="002967E9" w:rsidRDefault="008E5B2A" w:rsidP="008E5B2A">
      <w:pPr>
        <w:pStyle w:val="Corpodetexto"/>
        <w:widowControl/>
        <w:numPr>
          <w:ilvl w:val="0"/>
          <w:numId w:val="34"/>
        </w:numPr>
        <w:tabs>
          <w:tab w:val="left" w:pos="0"/>
        </w:tabs>
        <w:spacing w:line="192" w:lineRule="atLeast"/>
        <w:jc w:val="both"/>
        <w:rPr>
          <w:rFonts w:ascii="Times New Roman" w:hAnsi="Times New Roman"/>
          <w:color w:val="000000"/>
          <w:sz w:val="28"/>
          <w:lang w:val="pt-BR"/>
        </w:rPr>
      </w:pPr>
      <w:r w:rsidRPr="002967E9">
        <w:rPr>
          <w:rFonts w:ascii="Times New Roman" w:hAnsi="Times New Roman"/>
          <w:color w:val="000000"/>
          <w:sz w:val="28"/>
          <w:lang w:val="pt-BR"/>
        </w:rPr>
        <w:t>demais regiões que sejam habitadas por pessoas em situação de vulnerabilidade econômica ou social.</w:t>
      </w:r>
    </w:p>
    <w:p w14:paraId="18E03F92" w14:textId="77777777" w:rsidR="008E5B2A" w:rsidRPr="002967E9" w:rsidRDefault="008E5B2A" w:rsidP="008E5B2A">
      <w:pPr>
        <w:pStyle w:val="Corpodetexto"/>
        <w:widowControl/>
        <w:jc w:val="both"/>
        <w:rPr>
          <w:color w:val="000000"/>
          <w:lang w:val="pt-BR"/>
        </w:rPr>
      </w:pPr>
      <w:r w:rsidRPr="002967E9">
        <w:rPr>
          <w:color w:val="000000"/>
          <w:lang w:val="pt-BR"/>
        </w:rPr>
        <w:t> </w:t>
      </w:r>
    </w:p>
    <w:p w14:paraId="6DF38466" w14:textId="77777777" w:rsidR="008E5B2A" w:rsidRPr="002967E9" w:rsidRDefault="008E5B2A" w:rsidP="008E5B2A">
      <w:pPr>
        <w:pStyle w:val="Corpodetexto"/>
        <w:widowControl/>
        <w:spacing w:line="192" w:lineRule="atLeast"/>
        <w:jc w:val="both"/>
        <w:rPr>
          <w:lang w:val="pt-BR"/>
        </w:rPr>
      </w:pPr>
      <w:r w:rsidRPr="002967E9">
        <w:rPr>
          <w:rStyle w:val="nfaseforte"/>
          <w:rFonts w:ascii="Times New Roman" w:hAnsi="Times New Roman"/>
          <w:color w:val="000000"/>
          <w:sz w:val="28"/>
          <w:lang w:val="pt-BR"/>
        </w:rPr>
        <w:lastRenderedPageBreak/>
        <w:t>III - Ampla concorrência:</w:t>
      </w:r>
      <w:r w:rsidRPr="002967E9">
        <w:rPr>
          <w:rFonts w:ascii="Times New Roman" w:hAnsi="Times New Roman"/>
          <w:color w:val="000000"/>
          <w:sz w:val="28"/>
          <w:lang w:val="pt-BR"/>
        </w:rPr>
        <w:t> 30% das vagas se destinam à ampla concorrência, sem incidência de categorias. </w:t>
      </w:r>
    </w:p>
    <w:p w14:paraId="322B3E62" w14:textId="77777777" w:rsidR="008E5B2A" w:rsidRDefault="008E5B2A" w:rsidP="008E5B2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tbl>
      <w:tblPr>
        <w:tblW w:w="967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34"/>
        <w:gridCol w:w="5418"/>
        <w:gridCol w:w="2109"/>
        <w:gridCol w:w="1610"/>
      </w:tblGrid>
      <w:tr w:rsidR="008E5B2A" w:rsidRPr="002967E9" w14:paraId="407BBD71" w14:textId="77777777" w:rsidTr="008E5B2A">
        <w:trPr>
          <w:cantSplit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4FCDC" w14:textId="77777777" w:rsidR="008E5B2A" w:rsidRPr="002967E9" w:rsidRDefault="008E5B2A" w:rsidP="006D7DCB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553CC" w14:textId="77777777" w:rsidR="008E5B2A" w:rsidRPr="002967E9" w:rsidRDefault="008E5B2A" w:rsidP="006D7DCB">
            <w:pPr>
              <w:spacing w:line="240" w:lineRule="auto"/>
              <w:jc w:val="both"/>
            </w:pPr>
            <w:proofErr w:type="gramStart"/>
            <w:r w:rsidRPr="002967E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NOME  E</w:t>
            </w:r>
            <w:proofErr w:type="gramEnd"/>
            <w:r w:rsidRPr="002967E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 xml:space="preserve"> DESCRIÇÃO DA CATEGORIA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C84B6" w14:textId="77777777" w:rsidR="008E5B2A" w:rsidRPr="002967E9" w:rsidRDefault="008E5B2A" w:rsidP="006D7DCB">
            <w:pPr>
              <w:spacing w:line="240" w:lineRule="auto"/>
              <w:jc w:val="both"/>
            </w:pPr>
            <w:r w:rsidRPr="002967E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NÚMERO DE VAGAS PARA CATEGORIA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C1E85" w14:textId="77777777" w:rsidR="008E5B2A" w:rsidRPr="002967E9" w:rsidRDefault="008E5B2A" w:rsidP="006D7DCB">
            <w:pPr>
              <w:spacing w:line="240" w:lineRule="auto"/>
              <w:jc w:val="both"/>
            </w:pPr>
            <w:r w:rsidRPr="002967E9"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VALOR TOTAL DISPONÍVEL POR PROJETO SELECIONADO (R$)</w:t>
            </w:r>
          </w:p>
        </w:tc>
      </w:tr>
      <w:tr w:rsidR="008E5B2A" w14:paraId="64B8A9A9" w14:textId="77777777" w:rsidTr="008E5B2A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F6BD2" w14:textId="77777777" w:rsidR="008E5B2A" w:rsidRDefault="008E5B2A" w:rsidP="006D7DCB">
            <w:pPr>
              <w:tabs>
                <w:tab w:val="center" w:pos="0"/>
              </w:tabs>
              <w:spacing w:after="120" w:line="240" w:lineRule="auto"/>
              <w:jc w:val="both"/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01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833F9" w14:textId="77777777" w:rsidR="008E5B2A" w:rsidRDefault="008E5B2A" w:rsidP="006D7DCB">
            <w:pPr>
              <w:tabs>
                <w:tab w:val="center" w:pos="0"/>
              </w:tabs>
              <w:spacing w:after="120" w:line="240" w:lineRule="auto"/>
              <w:jc w:val="both"/>
            </w:pPr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  <w:highlight w:val="white"/>
              </w:rPr>
              <w:t>Culturas Populares e Tradicionais (30%)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B34A1" w14:textId="48ED71B7" w:rsidR="008E5B2A" w:rsidRDefault="008E5B2A" w:rsidP="008E5B2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EE0F4" w14:textId="377196A9" w:rsidR="008E5B2A" w:rsidRDefault="008E5B2A" w:rsidP="006D7DCB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25.128,83</w:t>
            </w:r>
          </w:p>
        </w:tc>
      </w:tr>
      <w:tr w:rsidR="008E5B2A" w14:paraId="4CC543DB" w14:textId="77777777" w:rsidTr="008E5B2A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9B01" w14:textId="77777777" w:rsidR="008E5B2A" w:rsidRDefault="008E5B2A" w:rsidP="006D7DC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02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42A57" w14:textId="77777777" w:rsidR="008E5B2A" w:rsidRDefault="008E5B2A" w:rsidP="006D7DCB">
            <w:pPr>
              <w:spacing w:line="240" w:lineRule="auto"/>
              <w:jc w:val="both"/>
            </w:pPr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</w:rPr>
              <w:t xml:space="preserve">Desconcentração </w:t>
            </w:r>
            <w:proofErr w:type="spellStart"/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</w:rPr>
              <w:t>Territoral</w:t>
            </w:r>
            <w:proofErr w:type="spellEnd"/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</w:rPr>
              <w:t xml:space="preserve"> e Regionalização (20%)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90F31" w14:textId="521B9566" w:rsidR="008E5B2A" w:rsidRDefault="008E5B2A" w:rsidP="006D7D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89E7E" w14:textId="0FDA568F" w:rsidR="008E5B2A" w:rsidRDefault="008E5B2A" w:rsidP="006D7DCB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25.128,83</w:t>
            </w:r>
          </w:p>
        </w:tc>
      </w:tr>
      <w:tr w:rsidR="008E5B2A" w14:paraId="28CECF99" w14:textId="77777777" w:rsidTr="008E5B2A"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8FA9B" w14:textId="77777777" w:rsidR="008E5B2A" w:rsidRDefault="008E5B2A" w:rsidP="006D7DCB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03</w:t>
            </w:r>
          </w:p>
        </w:tc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2E22E" w14:textId="77777777" w:rsidR="008E5B2A" w:rsidRDefault="008E5B2A" w:rsidP="006D7DCB">
            <w:pPr>
              <w:tabs>
                <w:tab w:val="center" w:pos="0"/>
              </w:tabs>
              <w:spacing w:line="240" w:lineRule="auto"/>
              <w:jc w:val="both"/>
            </w:pPr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</w:rPr>
              <w:t xml:space="preserve"> </w:t>
            </w:r>
            <w:bookmarkStart w:id="2" w:name="__DdeLink__4183_667061308"/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</w:rPr>
              <w:t>Ampla Concorrência</w:t>
            </w:r>
            <w:bookmarkEnd w:id="2"/>
            <w:r>
              <w:rPr>
                <w:rStyle w:val="nfaseforte"/>
                <w:rFonts w:ascii="Times New Roman" w:eastAsia="Calibri" w:hAnsi="Times New Roman" w:cs="Calibri"/>
                <w:color w:val="000000"/>
                <w:sz w:val="28"/>
                <w:szCs w:val="24"/>
              </w:rPr>
              <w:t xml:space="preserve"> (30%)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BB855" w14:textId="21E890AF" w:rsidR="008E5B2A" w:rsidRDefault="008E5B2A" w:rsidP="006D7DC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B6282" w14:textId="63FC7F92" w:rsidR="008E5B2A" w:rsidRDefault="008E5B2A" w:rsidP="006D7DCB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25.128,83</w:t>
            </w:r>
          </w:p>
        </w:tc>
      </w:tr>
    </w:tbl>
    <w:p w14:paraId="20FEE72B" w14:textId="77777777" w:rsidR="008E5B2A" w:rsidRDefault="008E5B2A" w:rsidP="008E5B2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</w:pPr>
    </w:p>
    <w:p w14:paraId="6DF71424" w14:textId="77777777" w:rsidR="008E5B2A" w:rsidRPr="002967E9" w:rsidRDefault="008E5B2A" w:rsidP="008E5B2A">
      <w:pPr>
        <w:pStyle w:val="Corpodetexto"/>
        <w:widowControl/>
        <w:spacing w:line="192" w:lineRule="atLeast"/>
        <w:jc w:val="both"/>
        <w:rPr>
          <w:lang w:val="pt-BR"/>
        </w:rPr>
      </w:pPr>
      <w:bookmarkStart w:id="3" w:name="__DdeLink__14254_3081250592"/>
      <w:bookmarkEnd w:id="3"/>
      <w:r w:rsidRPr="002967E9">
        <w:rPr>
          <w:rFonts w:ascii="Times New Roman" w:hAnsi="Times New Roman"/>
          <w:color w:val="000000"/>
          <w:sz w:val="28"/>
          <w:lang w:val="pt-BR"/>
        </w:rPr>
        <w:t>DAS POLÍTICAS DE COTAS OU RESERVA DE VAGAS</w:t>
      </w:r>
    </w:p>
    <w:tbl>
      <w:tblPr>
        <w:tblStyle w:val="TableNormal"/>
        <w:tblW w:w="9623" w:type="dxa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24"/>
        <w:gridCol w:w="2799"/>
      </w:tblGrid>
      <w:tr w:rsidR="008E5B2A" w14:paraId="2347FF0A" w14:textId="77777777" w:rsidTr="008E5B2A"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C99C5" w14:textId="77777777" w:rsidR="008E5B2A" w:rsidRDefault="008E5B2A" w:rsidP="006D7DC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3FB99" w14:textId="77777777" w:rsidR="008E5B2A" w:rsidRDefault="008E5B2A" w:rsidP="006D7DCB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</w:tr>
      <w:tr w:rsidR="008E5B2A" w14:paraId="65657307" w14:textId="77777777" w:rsidTr="008E5B2A"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FF009" w14:textId="77777777" w:rsidR="008E5B2A" w:rsidRDefault="008E5B2A" w:rsidP="006D7DC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85519" w14:textId="4AEC2C97" w:rsidR="008E5B2A" w:rsidRDefault="008E5B2A" w:rsidP="006D7DCB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8E5B2A" w14:paraId="76802AA0" w14:textId="77777777" w:rsidTr="008E5B2A"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AB04D" w14:textId="77777777" w:rsidR="008E5B2A" w:rsidRDefault="008E5B2A" w:rsidP="006D7DC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A753B" w14:textId="3FF4721F" w:rsidR="008E5B2A" w:rsidRDefault="008E5B2A" w:rsidP="006D7DCB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8E5B2A" w14:paraId="353EF249" w14:textId="77777777" w:rsidTr="008E5B2A">
        <w:tc>
          <w:tcPr>
            <w:tcW w:w="6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0464B" w14:textId="77777777" w:rsidR="008E5B2A" w:rsidRDefault="008E5B2A" w:rsidP="006D7DCB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582FC" w14:textId="43805D18" w:rsidR="008E5B2A" w:rsidRDefault="008E5B2A" w:rsidP="006D7DCB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14:paraId="78576995" w14:textId="77777777" w:rsidR="000410B8" w:rsidRDefault="000410B8" w:rsidP="00E724C9">
      <w:pPr>
        <w:shd w:val="clear" w:color="auto" w:fill="FFFFFF"/>
        <w:rPr>
          <w:rFonts w:ascii="Calibri" w:eastAsia="Calibri" w:hAnsi="Calibri" w:cs="Calibri"/>
          <w:b/>
          <w:sz w:val="24"/>
          <w:szCs w:val="24"/>
        </w:rPr>
      </w:pPr>
    </w:p>
    <w:p w14:paraId="651342AF" w14:textId="0A172CE6" w:rsidR="00E724C9" w:rsidRDefault="00E724C9" w:rsidP="00E724C9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OBSERVAÇÃO</w:t>
      </w:r>
    </w:p>
    <w:p w14:paraId="55FE3E10" w14:textId="3520CBD8" w:rsidR="00E724C9" w:rsidRDefault="00E724C9" w:rsidP="00E724C9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TENDO-SE EM VISTA O PRESENTE EDITAL OFERTAR APENAS 1 PRÊMIO, FICA COMPROMETICA A APLICAÇÃO DA POLÍTICA DE COTAS DEFINIDAS PELA LEGISLAÇÃO, ASSIM COMO AS CATEGORIAS CONSTANES DESTE ANEXO. </w:t>
      </w:r>
    </w:p>
    <w:sectPr w:rsidR="00E72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507B" w14:textId="77777777" w:rsidR="002E5DF4" w:rsidRDefault="002E5DF4">
      <w:pPr>
        <w:spacing w:line="240" w:lineRule="auto"/>
      </w:pPr>
      <w:r>
        <w:separator/>
      </w:r>
    </w:p>
  </w:endnote>
  <w:endnote w:type="continuationSeparator" w:id="0">
    <w:p w14:paraId="242D1E8E" w14:textId="77777777" w:rsidR="002E5DF4" w:rsidRDefault="002E5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B4A4" w14:textId="77777777" w:rsidR="00FA7CA2" w:rsidRDefault="00FA7C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666A" w14:textId="0C309B58" w:rsidR="00140776" w:rsidRDefault="00EC4B14">
    <w:r>
      <w:rPr>
        <w:noProof/>
      </w:rPr>
      <w:drawing>
        <wp:anchor distT="0" distB="0" distL="114300" distR="114300" simplePos="0" relativeHeight="251661312" behindDoc="1" locked="0" layoutInCell="1" allowOverlap="1" wp14:anchorId="73CEA9B1" wp14:editId="32A72E09">
          <wp:simplePos x="0" y="0"/>
          <wp:positionH relativeFrom="column">
            <wp:posOffset>2087880</wp:posOffset>
          </wp:positionH>
          <wp:positionV relativeFrom="paragraph">
            <wp:posOffset>-286385</wp:posOffset>
          </wp:positionV>
          <wp:extent cx="1486535" cy="467995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F0F9FC1" wp14:editId="25709744">
          <wp:simplePos x="0" y="0"/>
          <wp:positionH relativeFrom="column">
            <wp:posOffset>-552449</wp:posOffset>
          </wp:positionH>
          <wp:positionV relativeFrom="paragraph">
            <wp:posOffset>-47624</wp:posOffset>
          </wp:positionV>
          <wp:extent cx="1038225" cy="44648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B67D19C" wp14:editId="08E13993">
          <wp:simplePos x="0" y="0"/>
          <wp:positionH relativeFrom="column">
            <wp:posOffset>4191000</wp:posOffset>
          </wp:positionH>
          <wp:positionV relativeFrom="paragraph">
            <wp:posOffset>-119356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FA1F4" w14:textId="77777777" w:rsidR="00FA7CA2" w:rsidRDefault="00FA7C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03522" w14:textId="77777777" w:rsidR="002E5DF4" w:rsidRDefault="002E5DF4">
      <w:pPr>
        <w:spacing w:line="240" w:lineRule="auto"/>
      </w:pPr>
      <w:r>
        <w:separator/>
      </w:r>
    </w:p>
  </w:footnote>
  <w:footnote w:type="continuationSeparator" w:id="0">
    <w:p w14:paraId="51EE66D8" w14:textId="77777777" w:rsidR="002E5DF4" w:rsidRDefault="002E5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315E" w14:textId="77777777" w:rsidR="00FA7CA2" w:rsidRDefault="00FA7C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4E86" w14:textId="1D2B00B1" w:rsidR="000410B8" w:rsidRDefault="000410B8" w:rsidP="00FA7CA2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</w:rPr>
      <w:drawing>
        <wp:inline distT="0" distB="0" distL="0" distR="0" wp14:anchorId="77FB15CE" wp14:editId="795F80F0">
          <wp:extent cx="1226185" cy="749935"/>
          <wp:effectExtent l="0" t="0" r="0" b="0"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226185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CFEE" w14:textId="77777777" w:rsidR="00FA7CA2" w:rsidRDefault="00FA7C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73D8"/>
    <w:multiLevelType w:val="multilevel"/>
    <w:tmpl w:val="0562D6F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4B7E9C"/>
    <w:multiLevelType w:val="multilevel"/>
    <w:tmpl w:val="02F0019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8F12F9"/>
    <w:multiLevelType w:val="multilevel"/>
    <w:tmpl w:val="19AC2BA4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652ADA"/>
    <w:multiLevelType w:val="multilevel"/>
    <w:tmpl w:val="3176F69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5308D4"/>
    <w:multiLevelType w:val="multilevel"/>
    <w:tmpl w:val="9F3672F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8B0D8B"/>
    <w:multiLevelType w:val="multilevel"/>
    <w:tmpl w:val="93B62D60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2F0F1E"/>
    <w:multiLevelType w:val="multilevel"/>
    <w:tmpl w:val="293E7FD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15F7605A"/>
    <w:multiLevelType w:val="multilevel"/>
    <w:tmpl w:val="6F9AE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C27764"/>
    <w:multiLevelType w:val="multilevel"/>
    <w:tmpl w:val="FBE8A9F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560DA0"/>
    <w:multiLevelType w:val="multilevel"/>
    <w:tmpl w:val="E8046718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24AA4016"/>
    <w:multiLevelType w:val="multilevel"/>
    <w:tmpl w:val="9562577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5777B24"/>
    <w:multiLevelType w:val="multilevel"/>
    <w:tmpl w:val="DB3AEFF4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78547AA"/>
    <w:multiLevelType w:val="multilevel"/>
    <w:tmpl w:val="274CE09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925320"/>
    <w:multiLevelType w:val="multilevel"/>
    <w:tmpl w:val="74A8BD7E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4808CB"/>
    <w:multiLevelType w:val="multilevel"/>
    <w:tmpl w:val="FF34FA8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89E5D0C"/>
    <w:multiLevelType w:val="multilevel"/>
    <w:tmpl w:val="E3DC017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5330D2"/>
    <w:multiLevelType w:val="multilevel"/>
    <w:tmpl w:val="4C1EA40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7357C3"/>
    <w:multiLevelType w:val="multilevel"/>
    <w:tmpl w:val="28E0714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8E7094"/>
    <w:multiLevelType w:val="multilevel"/>
    <w:tmpl w:val="5E42A1E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C972E21"/>
    <w:multiLevelType w:val="multilevel"/>
    <w:tmpl w:val="BF9C562C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E7C6A10"/>
    <w:multiLevelType w:val="multilevel"/>
    <w:tmpl w:val="7D1CF88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1" w15:restartNumberingAfterBreak="0">
    <w:nsid w:val="3EFC06C7"/>
    <w:multiLevelType w:val="multilevel"/>
    <w:tmpl w:val="70F8640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BF2D86"/>
    <w:multiLevelType w:val="multilevel"/>
    <w:tmpl w:val="3C98F79E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23" w15:restartNumberingAfterBreak="0">
    <w:nsid w:val="4840118B"/>
    <w:multiLevelType w:val="multilevel"/>
    <w:tmpl w:val="455C61E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166C5D"/>
    <w:multiLevelType w:val="multilevel"/>
    <w:tmpl w:val="0B02A5C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5" w15:restartNumberingAfterBreak="0">
    <w:nsid w:val="50825B42"/>
    <w:multiLevelType w:val="multilevel"/>
    <w:tmpl w:val="5B1CC58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1E17101"/>
    <w:multiLevelType w:val="multilevel"/>
    <w:tmpl w:val="170ED43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113908"/>
    <w:multiLevelType w:val="multilevel"/>
    <w:tmpl w:val="4CC6C50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0486B6E"/>
    <w:multiLevelType w:val="multilevel"/>
    <w:tmpl w:val="39C6AA2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3B06E6"/>
    <w:multiLevelType w:val="multilevel"/>
    <w:tmpl w:val="A31CE05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6C8D38DD"/>
    <w:multiLevelType w:val="multilevel"/>
    <w:tmpl w:val="56C4020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256F4E"/>
    <w:multiLevelType w:val="multilevel"/>
    <w:tmpl w:val="8CE0DCA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86F0F76"/>
    <w:multiLevelType w:val="multilevel"/>
    <w:tmpl w:val="9850C1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BFE0162"/>
    <w:multiLevelType w:val="multilevel"/>
    <w:tmpl w:val="70B65CE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47552338">
    <w:abstractNumId w:val="0"/>
  </w:num>
  <w:num w:numId="2" w16cid:durableId="424032839">
    <w:abstractNumId w:val="25"/>
  </w:num>
  <w:num w:numId="3" w16cid:durableId="51008834">
    <w:abstractNumId w:val="19"/>
  </w:num>
  <w:num w:numId="4" w16cid:durableId="657684210">
    <w:abstractNumId w:val="8"/>
  </w:num>
  <w:num w:numId="5" w16cid:durableId="847251847">
    <w:abstractNumId w:val="18"/>
  </w:num>
  <w:num w:numId="6" w16cid:durableId="1981381916">
    <w:abstractNumId w:val="7"/>
  </w:num>
  <w:num w:numId="7" w16cid:durableId="2008902716">
    <w:abstractNumId w:val="22"/>
  </w:num>
  <w:num w:numId="8" w16cid:durableId="464353487">
    <w:abstractNumId w:val="6"/>
  </w:num>
  <w:num w:numId="9" w16cid:durableId="1123765568">
    <w:abstractNumId w:val="1"/>
  </w:num>
  <w:num w:numId="10" w16cid:durableId="453401584">
    <w:abstractNumId w:val="9"/>
  </w:num>
  <w:num w:numId="11" w16cid:durableId="2021621411">
    <w:abstractNumId w:val="11"/>
  </w:num>
  <w:num w:numId="12" w16cid:durableId="1684625188">
    <w:abstractNumId w:val="14"/>
  </w:num>
  <w:num w:numId="13" w16cid:durableId="490560795">
    <w:abstractNumId w:val="16"/>
  </w:num>
  <w:num w:numId="14" w16cid:durableId="2138448531">
    <w:abstractNumId w:val="31"/>
  </w:num>
  <w:num w:numId="15" w16cid:durableId="242683417">
    <w:abstractNumId w:val="28"/>
  </w:num>
  <w:num w:numId="16" w16cid:durableId="985624221">
    <w:abstractNumId w:val="30"/>
  </w:num>
  <w:num w:numId="17" w16cid:durableId="1613126261">
    <w:abstractNumId w:val="3"/>
  </w:num>
  <w:num w:numId="18" w16cid:durableId="54204499">
    <w:abstractNumId w:val="23"/>
  </w:num>
  <w:num w:numId="19" w16cid:durableId="1741826672">
    <w:abstractNumId w:val="33"/>
  </w:num>
  <w:num w:numId="20" w16cid:durableId="357125651">
    <w:abstractNumId w:val="4"/>
  </w:num>
  <w:num w:numId="21" w16cid:durableId="655376767">
    <w:abstractNumId w:val="17"/>
  </w:num>
  <w:num w:numId="22" w16cid:durableId="1718120346">
    <w:abstractNumId w:val="5"/>
  </w:num>
  <w:num w:numId="23" w16cid:durableId="598218113">
    <w:abstractNumId w:val="21"/>
  </w:num>
  <w:num w:numId="24" w16cid:durableId="1555660410">
    <w:abstractNumId w:val="2"/>
  </w:num>
  <w:num w:numId="25" w16cid:durableId="1063873003">
    <w:abstractNumId w:val="27"/>
  </w:num>
  <w:num w:numId="26" w16cid:durableId="753432821">
    <w:abstractNumId w:val="29"/>
  </w:num>
  <w:num w:numId="27" w16cid:durableId="1760296965">
    <w:abstractNumId w:val="13"/>
  </w:num>
  <w:num w:numId="28" w16cid:durableId="563492362">
    <w:abstractNumId w:val="12"/>
  </w:num>
  <w:num w:numId="29" w16cid:durableId="1712340677">
    <w:abstractNumId w:val="32"/>
  </w:num>
  <w:num w:numId="30" w16cid:durableId="1829858918">
    <w:abstractNumId w:val="24"/>
  </w:num>
  <w:num w:numId="31" w16cid:durableId="1745880847">
    <w:abstractNumId w:val="10"/>
  </w:num>
  <w:num w:numId="32" w16cid:durableId="2111926943">
    <w:abstractNumId w:val="26"/>
  </w:num>
  <w:num w:numId="33" w16cid:durableId="1779183174">
    <w:abstractNumId w:val="15"/>
  </w:num>
  <w:num w:numId="34" w16cid:durableId="15990197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76"/>
    <w:rsid w:val="000410B8"/>
    <w:rsid w:val="00140776"/>
    <w:rsid w:val="002A1BBB"/>
    <w:rsid w:val="002E5DF4"/>
    <w:rsid w:val="003C4850"/>
    <w:rsid w:val="004010A0"/>
    <w:rsid w:val="00492531"/>
    <w:rsid w:val="004D5EFF"/>
    <w:rsid w:val="004F11E9"/>
    <w:rsid w:val="00563E47"/>
    <w:rsid w:val="005F3557"/>
    <w:rsid w:val="007210B7"/>
    <w:rsid w:val="008B09CB"/>
    <w:rsid w:val="008E5B2A"/>
    <w:rsid w:val="008F0A38"/>
    <w:rsid w:val="00911525"/>
    <w:rsid w:val="00952772"/>
    <w:rsid w:val="00A95539"/>
    <w:rsid w:val="00B30906"/>
    <w:rsid w:val="00B45922"/>
    <w:rsid w:val="00C0334D"/>
    <w:rsid w:val="00C3773E"/>
    <w:rsid w:val="00C4338F"/>
    <w:rsid w:val="00C9182C"/>
    <w:rsid w:val="00D26C25"/>
    <w:rsid w:val="00DF5C38"/>
    <w:rsid w:val="00E724C9"/>
    <w:rsid w:val="00EC4B14"/>
    <w:rsid w:val="00FA7CA2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60594"/>
  <w15:docId w15:val="{9BE2AB14-4269-4045-80EE-DEF61090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F5C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5C38"/>
  </w:style>
  <w:style w:type="paragraph" w:styleId="Rodap">
    <w:name w:val="footer"/>
    <w:basedOn w:val="Normal"/>
    <w:link w:val="RodapChar"/>
    <w:uiPriority w:val="99"/>
    <w:unhideWhenUsed/>
    <w:rsid w:val="00DF5C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C38"/>
  </w:style>
  <w:style w:type="character" w:customStyle="1" w:styleId="nfaseforte">
    <w:name w:val="Ênfase forte"/>
    <w:qFormat/>
    <w:rsid w:val="008E5B2A"/>
    <w:rPr>
      <w:b/>
      <w:bCs/>
    </w:rPr>
  </w:style>
  <w:style w:type="paragraph" w:styleId="Corpodetexto">
    <w:name w:val="Body Text"/>
    <w:basedOn w:val="Normal"/>
    <w:link w:val="CorpodetextoChar"/>
    <w:rsid w:val="008E5B2A"/>
    <w:pPr>
      <w:widowControl w:val="0"/>
      <w:spacing w:after="140"/>
    </w:pPr>
    <w:rPr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E5B2A"/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Marcelo</cp:lastModifiedBy>
  <cp:revision>2</cp:revision>
  <dcterms:created xsi:type="dcterms:W3CDTF">2024-11-18T13:10:00Z</dcterms:created>
  <dcterms:modified xsi:type="dcterms:W3CDTF">2024-11-18T13:10:00Z</dcterms:modified>
</cp:coreProperties>
</file>